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C2C66" w14:textId="0699895B" w:rsidR="0068340D" w:rsidRPr="00B32C0A" w:rsidRDefault="00B32C0A" w:rsidP="0068340D">
      <w:pPr>
        <w:jc w:val="center"/>
        <w:rPr>
          <w:rFonts w:ascii="Sarabun" w:eastAsia="Times New Roman" w:hAnsi="Sarabun" w:cs="Sarabun"/>
          <w:b/>
          <w:bCs/>
          <w:lang w:eastAsia="es-CO"/>
        </w:rPr>
      </w:pPr>
      <w:r>
        <w:rPr>
          <w:rFonts w:ascii="Sarabun" w:eastAsia="Times New Roman" w:hAnsi="Sarabun" w:cs="Sarabun"/>
          <w:b/>
          <w:bCs/>
          <w:lang w:eastAsia="es-CO"/>
        </w:rPr>
        <w:t>A</w:t>
      </w:r>
      <w:r w:rsidR="0068340D" w:rsidRPr="00B32C0A">
        <w:rPr>
          <w:rFonts w:ascii="Sarabun" w:eastAsia="Times New Roman" w:hAnsi="Sarabun" w:cs="Sarabun"/>
          <w:b/>
          <w:bCs/>
          <w:lang w:eastAsia="es-CO"/>
        </w:rPr>
        <w:t xml:space="preserve">mpliación de horizonte del proyecto BPIN </w:t>
      </w:r>
      <w:r w:rsidR="002852E5" w:rsidRPr="002852E5">
        <w:rPr>
          <w:rFonts w:ascii="Sarabun" w:eastAsia="Times New Roman" w:hAnsi="Sarabun" w:cs="Sarabun"/>
          <w:b/>
          <w:bCs/>
          <w:lang w:eastAsia="es-CO"/>
        </w:rPr>
        <w:t>2018011000992</w:t>
      </w:r>
      <w:r w:rsidR="002852E5">
        <w:rPr>
          <w:rFonts w:ascii="Sarabun" w:eastAsia="Times New Roman" w:hAnsi="Sarabun" w:cs="Sarabun"/>
          <w:b/>
          <w:bCs/>
          <w:lang w:eastAsia="es-CO"/>
        </w:rPr>
        <w:t xml:space="preserve"> - </w:t>
      </w:r>
      <w:r w:rsidR="00D91172">
        <w:rPr>
          <w:rFonts w:ascii="Sarabun" w:eastAsia="Times New Roman" w:hAnsi="Sarabun" w:cs="Sarabun"/>
          <w:b/>
          <w:bCs/>
          <w:lang w:eastAsia="es-CO"/>
        </w:rPr>
        <w:t xml:space="preserve">proyecto Norte de Santander </w:t>
      </w:r>
    </w:p>
    <w:p w14:paraId="360684BA" w14:textId="37DA1923"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 xml:space="preserve">En el marco de la actualización del proyecto de inversión </w:t>
      </w:r>
      <w:r w:rsidR="002852E5" w:rsidRPr="002852E5">
        <w:rPr>
          <w:rFonts w:ascii="Sarabun" w:eastAsia="Times New Roman" w:hAnsi="Sarabun" w:cs="Sarabun"/>
          <w:b/>
          <w:bCs/>
          <w:lang w:eastAsia="es-CO"/>
        </w:rPr>
        <w:t>MEJORAMIENTO DE LOS SERVICIOS AEROPORTUARIOS Y A LA NAVEGACIÓN AÉREA DE LA REGIÓN  NORTE DE SANTANDER</w:t>
      </w:r>
      <w:r w:rsidRPr="00D91172">
        <w:rPr>
          <w:rFonts w:ascii="Sarabun" w:eastAsia="Times New Roman" w:hAnsi="Sarabun" w:cs="Sarabun"/>
          <w:lang w:eastAsia="es-CO"/>
        </w:rPr>
        <w:t xml:space="preserve">, nos permitimos presentar la justificación de la ampliación del horizonte del proyecto, incorporando el desarrollo de un </w:t>
      </w:r>
      <w:r w:rsidRPr="00D91172">
        <w:rPr>
          <w:rFonts w:ascii="Sarabun" w:eastAsia="Times New Roman" w:hAnsi="Sarabun" w:cs="Sarabun"/>
          <w:b/>
          <w:bCs/>
          <w:lang w:eastAsia="es-CO"/>
        </w:rPr>
        <w:t>nuevo aeropuerto en el municipio de Tibú</w:t>
      </w:r>
      <w:r w:rsidRPr="00D91172">
        <w:rPr>
          <w:rFonts w:ascii="Sarabun" w:eastAsia="Times New Roman" w:hAnsi="Sarabun" w:cs="Sarabun"/>
          <w:lang w:eastAsia="es-CO"/>
        </w:rPr>
        <w:t xml:space="preserve">, el cual cuenta con </w:t>
      </w:r>
      <w:r w:rsidRPr="00D91172">
        <w:rPr>
          <w:rFonts w:ascii="Sarabun" w:eastAsia="Times New Roman" w:hAnsi="Sarabun" w:cs="Sarabun"/>
          <w:b/>
          <w:bCs/>
          <w:lang w:eastAsia="es-CO"/>
        </w:rPr>
        <w:t>CONPES estratégico</w:t>
      </w:r>
      <w:r w:rsidRPr="00D91172">
        <w:rPr>
          <w:rFonts w:ascii="Sarabun" w:eastAsia="Times New Roman" w:hAnsi="Sarabun" w:cs="Sarabun"/>
          <w:lang w:eastAsia="es-CO"/>
        </w:rPr>
        <w:t xml:space="preserve">, y ampliando su ejecución hasta la vigencia </w:t>
      </w:r>
      <w:r w:rsidRPr="00D91172">
        <w:rPr>
          <w:rFonts w:ascii="Sarabun" w:eastAsia="Times New Roman" w:hAnsi="Sarabun" w:cs="Sarabun"/>
          <w:b/>
          <w:bCs/>
          <w:lang w:eastAsia="es-CO"/>
        </w:rPr>
        <w:t>2031</w:t>
      </w:r>
      <w:r w:rsidRPr="00D91172">
        <w:rPr>
          <w:rFonts w:ascii="Sarabun" w:eastAsia="Times New Roman" w:hAnsi="Sarabun" w:cs="Sarabun"/>
          <w:lang w:eastAsia="es-CO"/>
        </w:rPr>
        <w:t>, con base en la siguiente justificación técnica:</w:t>
      </w:r>
    </w:p>
    <w:p w14:paraId="331EB700"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La ampliación del horizonte responde a la necesidad de garantizar la continuidad en la ejecución de las actividades orientadas al desarrollo de infraestructura aeroportuaria en el departamento, particularmente en una zona estratégica como el Catatumbo, así como al cumplimiento de los requerimientos técnicos, normativos y de política pública del sector aeronáutico.</w:t>
      </w:r>
    </w:p>
    <w:p w14:paraId="3C5F5643"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En este sentido, y en concordancia con los estándares nacionales e internacionales aplicables, la infraestructura aeroportuaria debe mantenerse de manera permanente en condiciones óptimas de seguridad operacional. Esto implica no solo la ejecución de nuevas obras, sino también la implementación continua de actividades de mejoramiento, mantenimiento y sostenibilidad, especialmente en el lado aire, cuya naturaleza es recurrente y de largo plazo.</w:t>
      </w:r>
    </w:p>
    <w:p w14:paraId="307D2B52"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De acuerdo con la cadena de valor del proyecto, la inclusión del aeropuerto de Tibú incorpora un conjunto de actividades cuya programación y ejecución trascienden los horizontes de corto plazo. Estas actividades comprenden la realización de estudios y diseños para el mejoramiento del lado aire, la gestión predial, la gerencia integral, así como la gestión social y ambiental del proyecto.</w:t>
      </w:r>
    </w:p>
    <w:p w14:paraId="4CF3C09B"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Así mismo, se contemplan intervenciones de infraestructura tales como la construcción de cerramiento perimetral, la ampliación y mejoramiento de la pista, la construcción o mejoramiento de la plataforma y la calle de rodaje, la construcción de la franja de pista, la implementación de canales y sistemas de drenaje, así como la ejecución de obras complementarias requeridas para la operación aeroportuaria.</w:t>
      </w:r>
    </w:p>
    <w:p w14:paraId="3E30CFA7"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De manera complementaria, el proyecto incluye la construcción de redes eléctricas, la instalación de ayudas visuales para la navegación aérea, la implementación de sistemas de energía renovable, y el desarrollo de actividades de mantenimiento rutinario y adecuaciones a las edificaciones aeroportuarias, así como a los sistemas energéticos, garantizando la sostenibilidad de la infraestructura en el tiempo.</w:t>
      </w:r>
    </w:p>
    <w:p w14:paraId="719B0F3C"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Estas intervenciones, junto con los componentes de gestión predial, social y ambiental, requieren una programación que excede los horizontes de corto plazo, por lo que limitar su desarrollo afectaría la sostenibilidad de la operación aeroportuaria y la entrada en funcionamiento del nuevo aeropuerto de Tibú.</w:t>
      </w:r>
    </w:p>
    <w:p w14:paraId="64A45B45"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Adicionalmente, la ampliación del horizonte permite asegurar la adecuada articulación entre las fases de estructuración, construcción, puesta en operación y mantenimiento, en línea con los lineamientos definidos en el CONPES estratégico, el cual prioriza el fortalecimiento de la conectividad en regiones con condiciones especiales de desarrollo, como el Catatumbo.</w:t>
      </w:r>
    </w:p>
    <w:p w14:paraId="104E4441"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Desde el punto de vista técnico, la no ampliación del horizonte generaría riesgos asociados a la no culminación de las obras, el deterioro progresivo de la infraestructura, la disminución de los niveles de servicio y posibles afectaciones a la seguridad operacional.</w:t>
      </w:r>
    </w:p>
    <w:p w14:paraId="259D3174"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Desde el punto de vista financiero, la ampliación permite una programación más eficiente y realista de los recursos, acorde con la capacidad de ejecución del proyecto, evitando concentraciones de inversión en periodos reducidos que podrían afectar su adecuada implementación.</w:t>
      </w:r>
    </w:p>
    <w:p w14:paraId="1A7EFFB1" w14:textId="77777777" w:rsidR="00D91172" w:rsidRPr="00D91172" w:rsidRDefault="00D91172" w:rsidP="00D91172">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lastRenderedPageBreak/>
        <w:t xml:space="preserve">Así mismo, la proyección presupuestal del proyecto para el periodo </w:t>
      </w:r>
      <w:r w:rsidRPr="00D91172">
        <w:rPr>
          <w:rFonts w:ascii="Sarabun" w:eastAsia="Times New Roman" w:hAnsi="Sarabun" w:cs="Sarabun"/>
          <w:b/>
          <w:bCs/>
          <w:lang w:eastAsia="es-CO"/>
        </w:rPr>
        <w:t>2027–2031</w:t>
      </w:r>
      <w:r w:rsidRPr="00D91172">
        <w:rPr>
          <w:rFonts w:ascii="Sarabun" w:eastAsia="Times New Roman" w:hAnsi="Sarabun" w:cs="Sarabun"/>
          <w:lang w:eastAsia="es-CO"/>
        </w:rPr>
        <w:t xml:space="preserve"> ha sido estructurada con base en la cadena de valor, garantizando la coherencia entre las actividades, los productos y los recursos requeridos para su ejecución.</w:t>
      </w:r>
    </w:p>
    <w:p w14:paraId="56FDFFF6" w14:textId="4D588B99" w:rsidR="00B32C0A" w:rsidRDefault="00D91172" w:rsidP="00B32C0A">
      <w:pPr>
        <w:spacing w:before="100" w:beforeAutospacing="1" w:after="100" w:afterAutospacing="1" w:line="240" w:lineRule="auto"/>
        <w:jc w:val="both"/>
        <w:rPr>
          <w:rFonts w:ascii="Sarabun" w:eastAsia="Times New Roman" w:hAnsi="Sarabun" w:cs="Sarabun"/>
          <w:lang w:eastAsia="es-CO"/>
        </w:rPr>
      </w:pPr>
      <w:r w:rsidRPr="00D91172">
        <w:rPr>
          <w:rFonts w:ascii="Sarabun" w:eastAsia="Times New Roman" w:hAnsi="Sarabun" w:cs="Sarabun"/>
          <w:lang w:eastAsia="es-CO"/>
        </w:rPr>
        <w:t xml:space="preserve">En consecuencia, mantener un horizonte inferior comprometería la viabilidad técnica, operativa y financiera del proyecto. Por el contrario, su ampliación hasta la vigencia </w:t>
      </w:r>
      <w:r w:rsidRPr="00D91172">
        <w:rPr>
          <w:rFonts w:ascii="Sarabun" w:eastAsia="Times New Roman" w:hAnsi="Sarabun" w:cs="Sarabun"/>
          <w:b/>
          <w:bCs/>
          <w:lang w:eastAsia="es-CO"/>
        </w:rPr>
        <w:t>2031</w:t>
      </w:r>
      <w:r w:rsidRPr="00D91172">
        <w:rPr>
          <w:rFonts w:ascii="Sarabun" w:eastAsia="Times New Roman" w:hAnsi="Sarabun" w:cs="Sarabun"/>
          <w:lang w:eastAsia="es-CO"/>
        </w:rPr>
        <w:t xml:space="preserve"> permite asegurar la ejecución integral de las actividades, la entrada en operación del aeropuerto de Tibú, la sostenibilidad de los servicios aeroportuarios y el uso eficiente de los recursos públicos, bajo criterios de responsabilidad fiscal.</w:t>
      </w:r>
    </w:p>
    <w:p w14:paraId="695173D4" w14:textId="5CA6DDFD" w:rsidR="00B32C0A" w:rsidRDefault="00B32C0A" w:rsidP="00B32C0A">
      <w:pPr>
        <w:spacing w:before="100" w:beforeAutospacing="1" w:after="100" w:afterAutospacing="1" w:line="240" w:lineRule="auto"/>
        <w:jc w:val="both"/>
        <w:rPr>
          <w:rFonts w:ascii="Sarabun" w:eastAsia="Times New Roman" w:hAnsi="Sarabun" w:cs="Sarabun"/>
          <w:lang w:eastAsia="es-CO"/>
        </w:rPr>
      </w:pPr>
      <w:r>
        <w:rPr>
          <w:rFonts w:ascii="Sarabun" w:eastAsia="Times New Roman" w:hAnsi="Sarabun" w:cs="Sarabun"/>
          <w:lang w:eastAsia="es-CO"/>
        </w:rPr>
        <w:t>1. Presupuesto de la ampliación del horizonte del proyecto</w:t>
      </w:r>
    </w:p>
    <w:tbl>
      <w:tblPr>
        <w:tblStyle w:val="Tablaconcuadrcula"/>
        <w:tblW w:w="0" w:type="auto"/>
        <w:tblLook w:val="04A0" w:firstRow="1" w:lastRow="0" w:firstColumn="1" w:lastColumn="0" w:noHBand="0" w:noVBand="1"/>
      </w:tblPr>
      <w:tblGrid>
        <w:gridCol w:w="1216"/>
        <w:gridCol w:w="2977"/>
      </w:tblGrid>
      <w:tr w:rsidR="00B32C0A" w14:paraId="30DF8C0F" w14:textId="77777777" w:rsidTr="00B918F9">
        <w:trPr>
          <w:hidden/>
        </w:trPr>
        <w:tc>
          <w:tcPr>
            <w:tcW w:w="1216" w:type="dxa"/>
          </w:tcPr>
          <w:p w14:paraId="74D588B2"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3EE9F818"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189DEC73" w14:textId="77777777" w:rsidTr="00B918F9">
        <w:trPr>
          <w:hidden/>
        </w:trPr>
        <w:tc>
          <w:tcPr>
            <w:tcW w:w="1216" w:type="dxa"/>
          </w:tcPr>
          <w:p w14:paraId="0B0CDF0A"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07D52FF8"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2025C374" w14:textId="77777777" w:rsidTr="00B918F9">
        <w:trPr>
          <w:hidden/>
        </w:trPr>
        <w:tc>
          <w:tcPr>
            <w:tcW w:w="1216" w:type="dxa"/>
          </w:tcPr>
          <w:p w14:paraId="7D84C9D2"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6A3F7985"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4FB37E6A" w14:textId="77777777" w:rsidTr="00B918F9">
        <w:trPr>
          <w:hidden/>
        </w:trPr>
        <w:tc>
          <w:tcPr>
            <w:tcW w:w="1216" w:type="dxa"/>
          </w:tcPr>
          <w:p w14:paraId="63C7EE56"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080F5819"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01CA0E21" w14:textId="77777777" w:rsidTr="00B918F9">
        <w:trPr>
          <w:hidden/>
        </w:trPr>
        <w:tc>
          <w:tcPr>
            <w:tcW w:w="1216" w:type="dxa"/>
          </w:tcPr>
          <w:p w14:paraId="34057F5A"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51F3672D"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73B2A024" w14:textId="77777777" w:rsidTr="00B918F9">
        <w:trPr>
          <w:hidden/>
        </w:trPr>
        <w:tc>
          <w:tcPr>
            <w:tcW w:w="1216" w:type="dxa"/>
          </w:tcPr>
          <w:p w14:paraId="3F8CC73A"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16C3E19A"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096E1CBD" w14:textId="77777777" w:rsidTr="00B918F9">
        <w:trPr>
          <w:hidden/>
        </w:trPr>
        <w:tc>
          <w:tcPr>
            <w:tcW w:w="1216" w:type="dxa"/>
          </w:tcPr>
          <w:p w14:paraId="26B6850F"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431B4D37"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43F36FF1" w14:textId="77777777" w:rsidTr="00B918F9">
        <w:trPr>
          <w:hidden/>
        </w:trPr>
        <w:tc>
          <w:tcPr>
            <w:tcW w:w="1216" w:type="dxa"/>
          </w:tcPr>
          <w:p w14:paraId="60512565"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c>
          <w:tcPr>
            <w:tcW w:w="2977" w:type="dxa"/>
          </w:tcPr>
          <w:p w14:paraId="24149060" w14:textId="77777777" w:rsidR="00B32C0A" w:rsidRDefault="00B32C0A" w:rsidP="007257C2">
            <w:pPr>
              <w:spacing w:before="100" w:beforeAutospacing="1" w:after="100" w:afterAutospacing="1"/>
              <w:jc w:val="both"/>
              <w:rPr>
                <w:rFonts w:ascii="Sarabun" w:eastAsia="Times New Roman" w:hAnsi="Sarabun" w:cs="Sarabun"/>
                <w:vanish/>
                <w:sz w:val="24"/>
                <w:szCs w:val="24"/>
                <w:lang w:eastAsia="es-CO"/>
              </w:rPr>
            </w:pPr>
          </w:p>
        </w:tc>
      </w:tr>
      <w:tr w:rsidR="00B32C0A" w14:paraId="0C3AA564" w14:textId="77777777" w:rsidTr="00B918F9">
        <w:tc>
          <w:tcPr>
            <w:tcW w:w="1216" w:type="dxa"/>
            <w:shd w:val="clear" w:color="auto" w:fill="0A1D30" w:themeFill="text2" w:themeFillShade="BF"/>
          </w:tcPr>
          <w:p w14:paraId="6D1A4BD0" w14:textId="77777777" w:rsidR="00B32C0A" w:rsidRPr="003909E4" w:rsidRDefault="00B32C0A" w:rsidP="007257C2">
            <w:pPr>
              <w:jc w:val="center"/>
              <w:rPr>
                <w:b/>
                <w:bCs/>
                <w:color w:val="FFFFFF" w:themeColor="background1"/>
              </w:rPr>
            </w:pPr>
            <w:r w:rsidRPr="003909E4">
              <w:rPr>
                <w:b/>
                <w:bCs/>
                <w:color w:val="FFFFFF" w:themeColor="background1"/>
              </w:rPr>
              <w:t>VIGENCIA</w:t>
            </w:r>
          </w:p>
        </w:tc>
        <w:tc>
          <w:tcPr>
            <w:tcW w:w="2977" w:type="dxa"/>
            <w:shd w:val="clear" w:color="auto" w:fill="0A1D30" w:themeFill="text2" w:themeFillShade="BF"/>
          </w:tcPr>
          <w:p w14:paraId="24DB4D8B" w14:textId="77777777" w:rsidR="00B32C0A" w:rsidRPr="003909E4" w:rsidRDefault="00B32C0A" w:rsidP="007257C2">
            <w:pPr>
              <w:jc w:val="center"/>
              <w:rPr>
                <w:b/>
                <w:bCs/>
                <w:color w:val="FFFFFF" w:themeColor="background1"/>
              </w:rPr>
            </w:pPr>
            <w:r w:rsidRPr="003909E4">
              <w:rPr>
                <w:b/>
                <w:bCs/>
                <w:color w:val="FFFFFF" w:themeColor="background1"/>
              </w:rPr>
              <w:t>VALOR PROYECTADO</w:t>
            </w:r>
          </w:p>
        </w:tc>
      </w:tr>
      <w:tr w:rsidR="00B32C0A" w14:paraId="042F8B03" w14:textId="77777777" w:rsidTr="001548E1">
        <w:trPr>
          <w:trHeight w:val="348"/>
        </w:trPr>
        <w:tc>
          <w:tcPr>
            <w:tcW w:w="1216" w:type="dxa"/>
          </w:tcPr>
          <w:p w14:paraId="40E7A347" w14:textId="35DA1A28" w:rsidR="00B32C0A" w:rsidRDefault="00B32C0A" w:rsidP="007257C2">
            <w:r>
              <w:t>2</w:t>
            </w:r>
            <w:r w:rsidR="001548E1">
              <w:t>027</w:t>
            </w:r>
          </w:p>
        </w:tc>
        <w:tc>
          <w:tcPr>
            <w:tcW w:w="2977" w:type="dxa"/>
          </w:tcPr>
          <w:p w14:paraId="116FAC3E" w14:textId="7F037DDC" w:rsidR="00B32C0A" w:rsidRPr="001548E1" w:rsidRDefault="001548E1" w:rsidP="00B32C0A">
            <w:r w:rsidRPr="001548E1">
              <w:t>$                  1</w:t>
            </w:r>
            <w:r w:rsidR="002852E5">
              <w:t>3</w:t>
            </w:r>
            <w:r w:rsidRPr="001548E1">
              <w:t xml:space="preserve">5.000.000.000 </w:t>
            </w:r>
          </w:p>
        </w:tc>
      </w:tr>
      <w:tr w:rsidR="001548E1" w14:paraId="36FFB67F" w14:textId="77777777" w:rsidTr="00B918F9">
        <w:tc>
          <w:tcPr>
            <w:tcW w:w="1216" w:type="dxa"/>
          </w:tcPr>
          <w:p w14:paraId="2B31AFFF" w14:textId="7C30D7E8" w:rsidR="001548E1" w:rsidRDefault="001548E1" w:rsidP="007257C2">
            <w:r>
              <w:t>2028</w:t>
            </w:r>
          </w:p>
        </w:tc>
        <w:tc>
          <w:tcPr>
            <w:tcW w:w="2977" w:type="dxa"/>
          </w:tcPr>
          <w:p w14:paraId="2C398DC0" w14:textId="5F1317F0" w:rsidR="001548E1" w:rsidRPr="001548E1" w:rsidRDefault="001548E1" w:rsidP="008E4E6D">
            <w:pPr>
              <w:rPr>
                <w:rFonts w:ascii="Aptos Narrow" w:hAnsi="Aptos Narrow"/>
                <w:color w:val="000000"/>
              </w:rPr>
            </w:pPr>
            <w:r>
              <w:rPr>
                <w:rFonts w:ascii="Aptos Narrow" w:hAnsi="Aptos Narrow"/>
                <w:color w:val="000000"/>
              </w:rPr>
              <w:t xml:space="preserve">$                      69.270.409.087 </w:t>
            </w:r>
          </w:p>
        </w:tc>
      </w:tr>
      <w:tr w:rsidR="001548E1" w14:paraId="778E6A5C" w14:textId="77777777" w:rsidTr="00B918F9">
        <w:tc>
          <w:tcPr>
            <w:tcW w:w="1216" w:type="dxa"/>
          </w:tcPr>
          <w:p w14:paraId="7CF4C4E1" w14:textId="0E8B33DE" w:rsidR="001548E1" w:rsidRDefault="001548E1" w:rsidP="007257C2">
            <w:r>
              <w:t>2029</w:t>
            </w:r>
          </w:p>
        </w:tc>
        <w:tc>
          <w:tcPr>
            <w:tcW w:w="2977" w:type="dxa"/>
          </w:tcPr>
          <w:p w14:paraId="5531EE43" w14:textId="0BEB82D2" w:rsidR="001548E1" w:rsidRPr="001548E1" w:rsidRDefault="001548E1" w:rsidP="008E4E6D">
            <w:pPr>
              <w:rPr>
                <w:rFonts w:ascii="Aptos Narrow" w:hAnsi="Aptos Narrow"/>
                <w:color w:val="000000"/>
              </w:rPr>
            </w:pPr>
            <w:r>
              <w:rPr>
                <w:rFonts w:ascii="Aptos Narrow" w:hAnsi="Aptos Narrow"/>
                <w:color w:val="000000"/>
              </w:rPr>
              <w:t xml:space="preserve">$                      72.588.887.087 </w:t>
            </w:r>
          </w:p>
        </w:tc>
      </w:tr>
      <w:tr w:rsidR="001548E1" w14:paraId="2C844DCA" w14:textId="77777777" w:rsidTr="00B918F9">
        <w:tc>
          <w:tcPr>
            <w:tcW w:w="1216" w:type="dxa"/>
          </w:tcPr>
          <w:p w14:paraId="26BC5A0A" w14:textId="3F713E2F" w:rsidR="001548E1" w:rsidRDefault="001548E1" w:rsidP="007257C2">
            <w:r>
              <w:t>2030</w:t>
            </w:r>
          </w:p>
        </w:tc>
        <w:tc>
          <w:tcPr>
            <w:tcW w:w="2977" w:type="dxa"/>
          </w:tcPr>
          <w:p w14:paraId="22D6FBBD" w14:textId="272542FE" w:rsidR="001548E1" w:rsidRPr="001548E1" w:rsidRDefault="001548E1" w:rsidP="008E4E6D">
            <w:pPr>
              <w:rPr>
                <w:rFonts w:ascii="Aptos Narrow" w:hAnsi="Aptos Narrow"/>
                <w:color w:val="000000"/>
              </w:rPr>
            </w:pPr>
            <w:r>
              <w:rPr>
                <w:rFonts w:ascii="Aptos Narrow" w:hAnsi="Aptos Narrow"/>
                <w:color w:val="000000"/>
              </w:rPr>
              <w:t xml:space="preserve">$                      72.132.522.196 </w:t>
            </w:r>
          </w:p>
        </w:tc>
      </w:tr>
      <w:tr w:rsidR="00B918F9" w14:paraId="05E3D1BF" w14:textId="77777777" w:rsidTr="00B918F9">
        <w:tc>
          <w:tcPr>
            <w:tcW w:w="1216" w:type="dxa"/>
          </w:tcPr>
          <w:p w14:paraId="0B877FC2" w14:textId="1E90771F" w:rsidR="00B918F9" w:rsidRDefault="00B918F9" w:rsidP="007257C2">
            <w:r>
              <w:t>2031</w:t>
            </w:r>
          </w:p>
        </w:tc>
        <w:tc>
          <w:tcPr>
            <w:tcW w:w="2977" w:type="dxa"/>
          </w:tcPr>
          <w:p w14:paraId="683CF730" w14:textId="543ACDD8" w:rsidR="00B918F9" w:rsidRPr="001548E1" w:rsidRDefault="001548E1" w:rsidP="008E4E6D">
            <w:pPr>
              <w:rPr>
                <w:rFonts w:ascii="Aptos Narrow" w:hAnsi="Aptos Narrow"/>
                <w:color w:val="000000"/>
              </w:rPr>
            </w:pPr>
            <w:r>
              <w:rPr>
                <w:rFonts w:ascii="Aptos Narrow" w:hAnsi="Aptos Narrow"/>
                <w:color w:val="000000"/>
              </w:rPr>
              <w:t xml:space="preserve">$                      70.425.453.773 </w:t>
            </w:r>
          </w:p>
        </w:tc>
      </w:tr>
    </w:tbl>
    <w:p w14:paraId="4523F5E2" w14:textId="77777777" w:rsidR="001748F1" w:rsidRDefault="001748F1" w:rsidP="0068340D">
      <w:pPr>
        <w:jc w:val="both"/>
      </w:pPr>
    </w:p>
    <w:sectPr w:rsidR="001748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arabun">
    <w:altName w:val="Browallia New"/>
    <w:panose1 w:val="020B0604020202020204"/>
    <w:charset w:val="00"/>
    <w:family w:val="auto"/>
    <w:pitch w:val="variable"/>
    <w:sig w:usb0="21000007" w:usb1="00000001" w:usb2="00000000" w:usb3="00000000" w:csb0="00010193" w:csb1="00000000"/>
  </w:font>
  <w:font w:name="Aptos Narrow">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40D"/>
    <w:rsid w:val="00053DCC"/>
    <w:rsid w:val="001548E1"/>
    <w:rsid w:val="001748F1"/>
    <w:rsid w:val="002852E5"/>
    <w:rsid w:val="00405D58"/>
    <w:rsid w:val="0068340D"/>
    <w:rsid w:val="008E4E6D"/>
    <w:rsid w:val="009B6DC6"/>
    <w:rsid w:val="00B32C0A"/>
    <w:rsid w:val="00B918F9"/>
    <w:rsid w:val="00BA2427"/>
    <w:rsid w:val="00C22382"/>
    <w:rsid w:val="00D911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4E5FC"/>
  <w15:chartTrackingRefBased/>
  <w15:docId w15:val="{6A80D3E6-57BF-4B39-8ED5-B1754617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83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83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8340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8340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8340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8340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8340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8340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8340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8340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8340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8340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8340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8340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8340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8340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8340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8340D"/>
    <w:rPr>
      <w:rFonts w:eastAsiaTheme="majorEastAsia" w:cstheme="majorBidi"/>
      <w:color w:val="272727" w:themeColor="text1" w:themeTint="D8"/>
    </w:rPr>
  </w:style>
  <w:style w:type="paragraph" w:styleId="Ttulo">
    <w:name w:val="Title"/>
    <w:basedOn w:val="Normal"/>
    <w:next w:val="Normal"/>
    <w:link w:val="TtuloCar"/>
    <w:uiPriority w:val="10"/>
    <w:qFormat/>
    <w:rsid w:val="006834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8340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8340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8340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8340D"/>
    <w:pPr>
      <w:spacing w:before="160"/>
      <w:jc w:val="center"/>
    </w:pPr>
    <w:rPr>
      <w:i/>
      <w:iCs/>
      <w:color w:val="404040" w:themeColor="text1" w:themeTint="BF"/>
    </w:rPr>
  </w:style>
  <w:style w:type="character" w:customStyle="1" w:styleId="CitaCar">
    <w:name w:val="Cita Car"/>
    <w:basedOn w:val="Fuentedeprrafopredeter"/>
    <w:link w:val="Cita"/>
    <w:uiPriority w:val="29"/>
    <w:rsid w:val="0068340D"/>
    <w:rPr>
      <w:i/>
      <w:iCs/>
      <w:color w:val="404040" w:themeColor="text1" w:themeTint="BF"/>
    </w:rPr>
  </w:style>
  <w:style w:type="paragraph" w:styleId="Prrafodelista">
    <w:name w:val="List Paragraph"/>
    <w:basedOn w:val="Normal"/>
    <w:uiPriority w:val="34"/>
    <w:qFormat/>
    <w:rsid w:val="0068340D"/>
    <w:pPr>
      <w:ind w:left="720"/>
      <w:contextualSpacing/>
    </w:pPr>
  </w:style>
  <w:style w:type="character" w:styleId="nfasisintenso">
    <w:name w:val="Intense Emphasis"/>
    <w:basedOn w:val="Fuentedeprrafopredeter"/>
    <w:uiPriority w:val="21"/>
    <w:qFormat/>
    <w:rsid w:val="0068340D"/>
    <w:rPr>
      <w:i/>
      <w:iCs/>
      <w:color w:val="0F4761" w:themeColor="accent1" w:themeShade="BF"/>
    </w:rPr>
  </w:style>
  <w:style w:type="paragraph" w:styleId="Citadestacada">
    <w:name w:val="Intense Quote"/>
    <w:basedOn w:val="Normal"/>
    <w:next w:val="Normal"/>
    <w:link w:val="CitadestacadaCar"/>
    <w:uiPriority w:val="30"/>
    <w:qFormat/>
    <w:rsid w:val="00683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8340D"/>
    <w:rPr>
      <w:i/>
      <w:iCs/>
      <w:color w:val="0F4761" w:themeColor="accent1" w:themeShade="BF"/>
    </w:rPr>
  </w:style>
  <w:style w:type="character" w:styleId="Referenciaintensa">
    <w:name w:val="Intense Reference"/>
    <w:basedOn w:val="Fuentedeprrafopredeter"/>
    <w:uiPriority w:val="32"/>
    <w:qFormat/>
    <w:rsid w:val="0068340D"/>
    <w:rPr>
      <w:b/>
      <w:bCs/>
      <w:smallCaps/>
      <w:color w:val="0F4761" w:themeColor="accent1" w:themeShade="BF"/>
      <w:spacing w:val="5"/>
    </w:rPr>
  </w:style>
  <w:style w:type="table" w:styleId="Tablaconcuadrcula">
    <w:name w:val="Table Grid"/>
    <w:basedOn w:val="Tablanormal"/>
    <w:uiPriority w:val="39"/>
    <w:rsid w:val="00B32C0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98647">
      <w:bodyDiv w:val="1"/>
      <w:marLeft w:val="0"/>
      <w:marRight w:val="0"/>
      <w:marTop w:val="0"/>
      <w:marBottom w:val="0"/>
      <w:divBdr>
        <w:top w:val="none" w:sz="0" w:space="0" w:color="auto"/>
        <w:left w:val="none" w:sz="0" w:space="0" w:color="auto"/>
        <w:bottom w:val="none" w:sz="0" w:space="0" w:color="auto"/>
        <w:right w:val="none" w:sz="0" w:space="0" w:color="auto"/>
      </w:divBdr>
    </w:div>
    <w:div w:id="1415010464">
      <w:bodyDiv w:val="1"/>
      <w:marLeft w:val="0"/>
      <w:marRight w:val="0"/>
      <w:marTop w:val="0"/>
      <w:marBottom w:val="0"/>
      <w:divBdr>
        <w:top w:val="none" w:sz="0" w:space="0" w:color="auto"/>
        <w:left w:val="none" w:sz="0" w:space="0" w:color="auto"/>
        <w:bottom w:val="none" w:sz="0" w:space="0" w:color="auto"/>
        <w:right w:val="none" w:sz="0" w:space="0" w:color="auto"/>
      </w:divBdr>
    </w:div>
    <w:div w:id="1466003601">
      <w:bodyDiv w:val="1"/>
      <w:marLeft w:val="0"/>
      <w:marRight w:val="0"/>
      <w:marTop w:val="0"/>
      <w:marBottom w:val="0"/>
      <w:divBdr>
        <w:top w:val="none" w:sz="0" w:space="0" w:color="auto"/>
        <w:left w:val="none" w:sz="0" w:space="0" w:color="auto"/>
        <w:bottom w:val="none" w:sz="0" w:space="0" w:color="auto"/>
        <w:right w:val="none" w:sz="0" w:space="0" w:color="auto"/>
      </w:divBdr>
    </w:div>
    <w:div w:id="148157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E15A7881C5DE14CBD2DC5B7C04AC9E6" ma:contentTypeVersion="20" ma:contentTypeDescription="Crear nuevo documento." ma:contentTypeScope="" ma:versionID="16a99a172fe39f526ce3ecb87d2ce285">
  <xsd:schema xmlns:xsd="http://www.w3.org/2001/XMLSchema" xmlns:xs="http://www.w3.org/2001/XMLSchema" xmlns:p="http://schemas.microsoft.com/office/2006/metadata/properties" xmlns:ns1="http://schemas.microsoft.com/sharepoint/v3" xmlns:ns2="cb7466de-d78c-462b-8afe-fba5c37c692b" xmlns:ns3="4dbaf263-a00d-4ac4-a83d-6c33cb0c2234" targetNamespace="http://schemas.microsoft.com/office/2006/metadata/properties" ma:root="true" ma:fieldsID="487a6a67829e7909af52c78c6965738d" ns1:_="" ns2:_="" ns3:_="">
    <xsd:import namespace="http://schemas.microsoft.com/sharepoint/v3"/>
    <xsd:import namespace="cb7466de-d78c-462b-8afe-fba5c37c692b"/>
    <xsd:import namespace="4dbaf263-a00d-4ac4-a83d-6c33cb0c22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Location" minOccurs="0"/>
                <xsd:element ref="ns1:_ip_UnifiedCompliancePolicyProperties" minOccurs="0"/>
                <xsd:element ref="ns1:_ip_UnifiedCompliancePolicyUIAction" minOccurs="0"/>
                <xsd:element ref="ns2:MediaServiceBillingMetadata" minOccurs="0"/>
                <xsd:element ref="ns2:COMENTARIOS"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xsd:simpleType>
        <xsd:restriction base="dms:Note"/>
      </xsd:simpleType>
    </xsd:element>
    <xsd:element name="_ip_UnifiedCompliancePolicyUIAction" ma:index="24"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7466de-d78c-462b-8afe-fba5c37c6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35161a66-f04d-44f9-81ec-31eb021277b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COMENTARIOS" ma:index="26" nillable="true" ma:displayName="COMENTARIOS" ma:format="Dropdown" ma:internalName="COMENTARIOS">
      <xsd:simpleType>
        <xsd:restriction base="dms:Text">
          <xsd:maxLength value="255"/>
        </xsd:restriction>
      </xsd:simpleType>
    </xsd:element>
    <xsd:element name="Contenido" ma:index="27" nillable="true" ma:displayName="Contenido" ma:format="Dropdown" ma:internalName="Contenid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baf263-a00d-4ac4-a83d-6c33cb0c223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d8ae62-ce4f-4d09-9cdb-52adaf2388f2}" ma:internalName="TaxCatchAll" ma:showField="CatchAllData" ma:web="4dbaf263-a00d-4ac4-a83d-6c33cb0c223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cb7466de-d78c-462b-8afe-fba5c37c692b">
      <Terms xmlns="http://schemas.microsoft.com/office/infopath/2007/PartnerControls"/>
    </lcf76f155ced4ddcb4097134ff3c332f>
    <Contenido xmlns="cb7466de-d78c-462b-8afe-fba5c37c692b" xsi:nil="true"/>
    <_ip_UnifiedCompliancePolicyProperties xmlns="http://schemas.microsoft.com/sharepoint/v3" xsi:nil="true"/>
    <COMENTARIOS xmlns="cb7466de-d78c-462b-8afe-fba5c37c692b" xsi:nil="true"/>
    <TaxCatchAll xmlns="4dbaf263-a00d-4ac4-a83d-6c33cb0c2234" xsi:nil="true"/>
  </documentManagement>
</p:properties>
</file>

<file path=customXml/itemProps1.xml><?xml version="1.0" encoding="utf-8"?>
<ds:datastoreItem xmlns:ds="http://schemas.openxmlformats.org/officeDocument/2006/customXml" ds:itemID="{97659374-05FF-4CC8-B9BE-0F0A5768448B}"/>
</file>

<file path=customXml/itemProps2.xml><?xml version="1.0" encoding="utf-8"?>
<ds:datastoreItem xmlns:ds="http://schemas.openxmlformats.org/officeDocument/2006/customXml" ds:itemID="{FD921A5F-3C7C-47B3-B8C6-3E3F5CEE50EB}"/>
</file>

<file path=customXml/itemProps3.xml><?xml version="1.0" encoding="utf-8"?>
<ds:datastoreItem xmlns:ds="http://schemas.openxmlformats.org/officeDocument/2006/customXml" ds:itemID="{FB64195D-BA07-4F8C-9579-9DD93E0A09CF}"/>
</file>

<file path=docProps/app.xml><?xml version="1.0" encoding="utf-8"?>
<Properties xmlns="http://schemas.openxmlformats.org/officeDocument/2006/extended-properties" xmlns:vt="http://schemas.openxmlformats.org/officeDocument/2006/docPropsVTypes">
  <Template>Normal.dotm</Template>
  <TotalTime>52</TotalTime>
  <Pages>2</Pages>
  <Words>735</Words>
  <Characters>4043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Sully Janneth Perez Mendez</dc:creator>
  <cp:keywords/>
  <dc:description/>
  <cp:lastModifiedBy>Astrid Yelitza Garrido Vargas</cp:lastModifiedBy>
  <cp:revision>5</cp:revision>
  <dcterms:created xsi:type="dcterms:W3CDTF">2026-03-20T13:46:00Z</dcterms:created>
  <dcterms:modified xsi:type="dcterms:W3CDTF">2026-04-09T23:54:00Z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0x0101004E15A7881C5DE14CBD2DC5B7C04AC9E6</vt:lpwstr>
  </property>
</Properties>
</file>